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FD" w:rsidRDefault="00AB4021" w:rsidP="008031FD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-194945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 - КУЗБАСС</w:t>
      </w:r>
    </w:p>
    <w:p w:rsidR="008031FD" w:rsidRDefault="008031FD" w:rsidP="008031FD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8031FD" w:rsidRDefault="008031FD" w:rsidP="008031FD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>территориальная ИЗБИРАТЕЛЬНАЯ КОМИССИЯ</w:t>
      </w:r>
      <w:r>
        <w:rPr>
          <w:b/>
          <w:caps/>
          <w:sz w:val="28"/>
          <w:szCs w:val="28"/>
        </w:rPr>
        <w:br/>
      </w:r>
      <w:r w:rsidR="00AB4021">
        <w:rPr>
          <w:b/>
          <w:bCs/>
          <w:caps/>
          <w:sz w:val="28"/>
          <w:szCs w:val="28"/>
        </w:rPr>
        <w:t>КУЙБЫШЕВСКОГО</w:t>
      </w:r>
      <w:r>
        <w:rPr>
          <w:b/>
          <w:caps/>
          <w:sz w:val="28"/>
          <w:szCs w:val="28"/>
        </w:rPr>
        <w:t>района</w:t>
      </w:r>
    </w:p>
    <w:p w:rsidR="008031FD" w:rsidRDefault="008031FD" w:rsidP="008031FD">
      <w:pPr>
        <w:pBdr>
          <w:bottom w:val="double" w:sz="4" w:space="1" w:color="auto"/>
        </w:pBdr>
        <w:jc w:val="center"/>
        <w:rPr>
          <w:b/>
          <w:caps/>
        </w:rPr>
      </w:pPr>
      <w:r>
        <w:rPr>
          <w:b/>
          <w:caps/>
          <w:sz w:val="20"/>
          <w:szCs w:val="20"/>
        </w:rPr>
        <w:t>(</w:t>
      </w:r>
      <w:r>
        <w:rPr>
          <w:b/>
          <w:sz w:val="20"/>
          <w:szCs w:val="20"/>
        </w:rPr>
        <w:t>с полномочиями комиссии по подготовке и проведению выборов в органы местного самоуправления</w:t>
      </w:r>
      <w:r>
        <w:rPr>
          <w:b/>
        </w:rPr>
        <w:t xml:space="preserve">) </w:t>
      </w:r>
    </w:p>
    <w:p w:rsidR="008031FD" w:rsidRPr="007D22FA" w:rsidRDefault="008031FD" w:rsidP="007D22FA"/>
    <w:p w:rsidR="008031FD" w:rsidRDefault="008031FD" w:rsidP="008031FD">
      <w:pPr>
        <w:keepNext/>
        <w:jc w:val="center"/>
        <w:outlineLvl w:val="0"/>
        <w:rPr>
          <w:b/>
          <w:caps/>
          <w:spacing w:val="60"/>
          <w:sz w:val="28"/>
        </w:rPr>
      </w:pPr>
      <w:r>
        <w:rPr>
          <w:b/>
          <w:caps/>
          <w:spacing w:val="60"/>
          <w:sz w:val="28"/>
        </w:rPr>
        <w:t>решение</w:t>
      </w:r>
    </w:p>
    <w:p w:rsidR="008031FD" w:rsidRDefault="008031FD" w:rsidP="008031FD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552"/>
        <w:gridCol w:w="4678"/>
        <w:gridCol w:w="2551"/>
      </w:tblGrid>
      <w:tr w:rsidR="008031FD" w:rsidTr="007D22FA">
        <w:trPr>
          <w:trHeight w:val="287"/>
        </w:trPr>
        <w:tc>
          <w:tcPr>
            <w:tcW w:w="2552" w:type="dxa"/>
          </w:tcPr>
          <w:p w:rsidR="008031FD" w:rsidRDefault="00AB4021" w:rsidP="00AB4021">
            <w:pPr>
              <w:rPr>
                <w:highlight w:val="yellow"/>
              </w:rPr>
            </w:pPr>
            <w:r>
              <w:t>28</w:t>
            </w:r>
            <w:r w:rsidR="007D22FA">
              <w:t>.0</w:t>
            </w:r>
            <w:r>
              <w:t>6</w:t>
            </w:r>
            <w:r w:rsidR="008031FD">
              <w:t>.202</w:t>
            </w:r>
            <w:r>
              <w:t>4</w:t>
            </w:r>
            <w:r w:rsidR="008031FD">
              <w:t xml:space="preserve"> г.</w:t>
            </w:r>
          </w:p>
        </w:tc>
        <w:tc>
          <w:tcPr>
            <w:tcW w:w="4678" w:type="dxa"/>
          </w:tcPr>
          <w:p w:rsidR="008031FD" w:rsidRDefault="008031FD">
            <w:pPr>
              <w:jc w:val="center"/>
              <w:rPr>
                <w:highlight w:val="yellow"/>
              </w:rPr>
            </w:pPr>
            <w: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8031FD" w:rsidRDefault="007D22FA" w:rsidP="00AB4021">
            <w:pPr>
              <w:jc w:val="right"/>
            </w:pPr>
            <w:r>
              <w:t xml:space="preserve">№ </w:t>
            </w:r>
            <w:r w:rsidR="004A0296">
              <w:t>50/148</w:t>
            </w:r>
            <w:r>
              <w:t xml:space="preserve"> </w:t>
            </w:r>
          </w:p>
        </w:tc>
      </w:tr>
    </w:tbl>
    <w:p w:rsidR="00206447" w:rsidRPr="008031FD" w:rsidRDefault="00206447" w:rsidP="00F77BB9">
      <w:pPr>
        <w:widowControl w:val="0"/>
        <w:rPr>
          <w:sz w:val="28"/>
          <w:szCs w:val="28"/>
        </w:rPr>
      </w:pPr>
    </w:p>
    <w:p w:rsidR="00206447" w:rsidRPr="00AB4021" w:rsidRDefault="00206447" w:rsidP="007D22FA">
      <w:pPr>
        <w:pStyle w:val="2"/>
        <w:widowControl w:val="0"/>
        <w:spacing w:after="0" w:line="240" w:lineRule="auto"/>
        <w:ind w:left="0"/>
        <w:jc w:val="center"/>
        <w:rPr>
          <w:b/>
          <w:sz w:val="28"/>
          <w:szCs w:val="28"/>
        </w:rPr>
      </w:pPr>
      <w:r w:rsidRPr="00D321A1">
        <w:rPr>
          <w:b/>
          <w:sz w:val="28"/>
          <w:szCs w:val="28"/>
        </w:rPr>
        <w:t>О регистрации уполномоченн</w:t>
      </w:r>
      <w:r w:rsidR="00AB4021">
        <w:rPr>
          <w:b/>
          <w:sz w:val="28"/>
          <w:szCs w:val="28"/>
        </w:rPr>
        <w:t>ого</w:t>
      </w:r>
      <w:r w:rsidRPr="00D321A1">
        <w:rPr>
          <w:b/>
          <w:sz w:val="28"/>
          <w:szCs w:val="28"/>
        </w:rPr>
        <w:t xml:space="preserve"> представител</w:t>
      </w:r>
      <w:r w:rsidR="00AB4021">
        <w:rPr>
          <w:b/>
          <w:sz w:val="28"/>
          <w:szCs w:val="28"/>
        </w:rPr>
        <w:t>я</w:t>
      </w:r>
      <w:r w:rsidRPr="00D321A1">
        <w:rPr>
          <w:b/>
          <w:sz w:val="28"/>
          <w:szCs w:val="28"/>
        </w:rPr>
        <w:t xml:space="preserve"> избирательного объединения </w:t>
      </w:r>
      <w:r w:rsidR="00AC0F92" w:rsidRPr="00D321A1">
        <w:rPr>
          <w:b/>
          <w:sz w:val="28"/>
          <w:szCs w:val="28"/>
        </w:rPr>
        <w:t>Н</w:t>
      </w:r>
      <w:r w:rsidR="002F64D7">
        <w:rPr>
          <w:b/>
          <w:sz w:val="28"/>
          <w:szCs w:val="28"/>
        </w:rPr>
        <w:t>овокузнецкое местное отделение П</w:t>
      </w:r>
      <w:r w:rsidR="00AC0F92" w:rsidRPr="00D321A1">
        <w:rPr>
          <w:b/>
          <w:sz w:val="28"/>
          <w:szCs w:val="28"/>
        </w:rPr>
        <w:t>артии «ЕДИНАЯ РОССИЯ»</w:t>
      </w:r>
      <w:r w:rsidR="00AB4021">
        <w:rPr>
          <w:b/>
          <w:sz w:val="28"/>
          <w:szCs w:val="28"/>
        </w:rPr>
        <w:t xml:space="preserve">на </w:t>
      </w:r>
      <w:r w:rsidR="003D205E" w:rsidRPr="00D321A1">
        <w:rPr>
          <w:b/>
          <w:sz w:val="28"/>
          <w:szCs w:val="28"/>
        </w:rPr>
        <w:t xml:space="preserve">дополнительных выборах депутата Новокузнецкого городского Совета народных депутатов по одномандатному избирательному округу № </w:t>
      </w:r>
      <w:r w:rsidR="00AB4021">
        <w:rPr>
          <w:b/>
          <w:sz w:val="28"/>
          <w:szCs w:val="28"/>
        </w:rPr>
        <w:t>17</w:t>
      </w:r>
    </w:p>
    <w:p w:rsidR="00472369" w:rsidRPr="008031FD" w:rsidRDefault="00472369" w:rsidP="00F01D90">
      <w:pPr>
        <w:pStyle w:val="2"/>
        <w:widowControl w:val="0"/>
        <w:spacing w:after="0" w:line="240" w:lineRule="auto"/>
        <w:ind w:left="0" w:right="3703"/>
        <w:jc w:val="both"/>
        <w:rPr>
          <w:b/>
          <w:sz w:val="28"/>
          <w:szCs w:val="28"/>
        </w:rPr>
      </w:pPr>
    </w:p>
    <w:p w:rsidR="00653296" w:rsidRPr="008031FD" w:rsidRDefault="00373307" w:rsidP="00F042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31FD">
        <w:rPr>
          <w:sz w:val="28"/>
          <w:szCs w:val="28"/>
        </w:rPr>
        <w:t xml:space="preserve">Рассмотрев </w:t>
      </w:r>
      <w:r w:rsidR="00206447" w:rsidRPr="008031FD">
        <w:rPr>
          <w:sz w:val="28"/>
          <w:szCs w:val="28"/>
        </w:rPr>
        <w:t xml:space="preserve">документы, представленные в </w:t>
      </w:r>
      <w:r w:rsidR="00AB4021">
        <w:rPr>
          <w:color w:val="000000"/>
          <w:sz w:val="28"/>
          <w:szCs w:val="28"/>
        </w:rPr>
        <w:t>т</w:t>
      </w:r>
      <w:r w:rsidR="008031FD">
        <w:rPr>
          <w:color w:val="000000"/>
          <w:sz w:val="28"/>
          <w:szCs w:val="28"/>
        </w:rPr>
        <w:t xml:space="preserve">ерриториальную избирательную комиссию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 Новокузнецкого городского округа</w:t>
      </w:r>
      <w:r w:rsidR="004A0296">
        <w:rPr>
          <w:color w:val="000000"/>
          <w:sz w:val="28"/>
          <w:szCs w:val="28"/>
        </w:rPr>
        <w:t xml:space="preserve"> </w:t>
      </w:r>
      <w:r w:rsidR="00206447" w:rsidRPr="008031FD">
        <w:rPr>
          <w:sz w:val="28"/>
          <w:szCs w:val="28"/>
        </w:rPr>
        <w:t xml:space="preserve">избирательным объединением </w:t>
      </w:r>
      <w:r w:rsidR="00AC0F92" w:rsidRPr="008031FD">
        <w:rPr>
          <w:sz w:val="28"/>
          <w:szCs w:val="28"/>
        </w:rPr>
        <w:t>Н</w:t>
      </w:r>
      <w:r w:rsidR="002F64D7">
        <w:rPr>
          <w:sz w:val="28"/>
          <w:szCs w:val="28"/>
        </w:rPr>
        <w:t>овокузнецкое местное отделение П</w:t>
      </w:r>
      <w:r w:rsidR="00AC0F92" w:rsidRPr="008031FD">
        <w:rPr>
          <w:sz w:val="28"/>
          <w:szCs w:val="28"/>
        </w:rPr>
        <w:t xml:space="preserve">артии «ЕДИНАЯ РОССИЯ» </w:t>
      </w:r>
      <w:r w:rsidR="00206447" w:rsidRPr="008031FD">
        <w:rPr>
          <w:sz w:val="28"/>
          <w:szCs w:val="28"/>
        </w:rPr>
        <w:t>для регистрации уполномоченн</w:t>
      </w:r>
      <w:r w:rsidR="009F5F63" w:rsidRPr="008031FD">
        <w:rPr>
          <w:sz w:val="28"/>
          <w:szCs w:val="28"/>
        </w:rPr>
        <w:t>ых</w:t>
      </w:r>
      <w:r w:rsidR="00206447" w:rsidRPr="008031FD">
        <w:rPr>
          <w:sz w:val="28"/>
          <w:szCs w:val="28"/>
        </w:rPr>
        <w:t xml:space="preserve"> представител</w:t>
      </w:r>
      <w:r w:rsidR="009F5F63" w:rsidRPr="008031FD">
        <w:rPr>
          <w:sz w:val="28"/>
          <w:szCs w:val="28"/>
        </w:rPr>
        <w:t>ей</w:t>
      </w:r>
      <w:r w:rsidR="004A0296">
        <w:rPr>
          <w:sz w:val="28"/>
          <w:szCs w:val="28"/>
        </w:rPr>
        <w:t xml:space="preserve"> </w:t>
      </w:r>
      <w:r w:rsidR="00AC0F92" w:rsidRPr="008031FD">
        <w:rPr>
          <w:sz w:val="28"/>
          <w:szCs w:val="28"/>
        </w:rPr>
        <w:t>Новокузнецко</w:t>
      </w:r>
      <w:r w:rsidR="009F5F63" w:rsidRPr="008031FD">
        <w:rPr>
          <w:sz w:val="28"/>
          <w:szCs w:val="28"/>
        </w:rPr>
        <w:t>го</w:t>
      </w:r>
      <w:r w:rsidR="00AC0F92" w:rsidRPr="008031FD">
        <w:rPr>
          <w:sz w:val="28"/>
          <w:szCs w:val="28"/>
        </w:rPr>
        <w:t xml:space="preserve"> местно</w:t>
      </w:r>
      <w:r w:rsidR="009F5F63" w:rsidRPr="008031FD">
        <w:rPr>
          <w:sz w:val="28"/>
          <w:szCs w:val="28"/>
        </w:rPr>
        <w:t>го</w:t>
      </w:r>
      <w:r w:rsidR="00AC0F92" w:rsidRPr="008031FD">
        <w:rPr>
          <w:sz w:val="28"/>
          <w:szCs w:val="28"/>
        </w:rPr>
        <w:t xml:space="preserve"> отделени</w:t>
      </w:r>
      <w:r w:rsidR="009F5F63" w:rsidRPr="008031FD">
        <w:rPr>
          <w:sz w:val="28"/>
          <w:szCs w:val="28"/>
        </w:rPr>
        <w:t>я</w:t>
      </w:r>
      <w:r w:rsidR="002F64D7">
        <w:rPr>
          <w:sz w:val="28"/>
          <w:szCs w:val="28"/>
        </w:rPr>
        <w:t xml:space="preserve"> П</w:t>
      </w:r>
      <w:r w:rsidR="00AC0F92" w:rsidRPr="008031FD">
        <w:rPr>
          <w:sz w:val="28"/>
          <w:szCs w:val="28"/>
        </w:rPr>
        <w:t>артии «ЕДИНАЯ РОССИЯ»</w:t>
      </w:r>
      <w:r w:rsidR="002F64D7">
        <w:rPr>
          <w:sz w:val="28"/>
          <w:szCs w:val="28"/>
        </w:rPr>
        <w:t xml:space="preserve"> </w:t>
      </w:r>
      <w:r w:rsidR="00AC0F92" w:rsidRPr="008031FD">
        <w:rPr>
          <w:sz w:val="28"/>
          <w:szCs w:val="28"/>
        </w:rPr>
        <w:t xml:space="preserve"> </w:t>
      </w:r>
      <w:r w:rsidR="00AB4021">
        <w:rPr>
          <w:sz w:val="28"/>
          <w:szCs w:val="28"/>
        </w:rPr>
        <w:t>на</w:t>
      </w:r>
      <w:r w:rsidR="004A0296">
        <w:rPr>
          <w:sz w:val="28"/>
          <w:szCs w:val="28"/>
        </w:rPr>
        <w:t xml:space="preserve"> </w:t>
      </w:r>
      <w:r w:rsidR="00AB4021">
        <w:rPr>
          <w:sz w:val="28"/>
          <w:szCs w:val="28"/>
        </w:rPr>
        <w:t xml:space="preserve">дополнительных </w:t>
      </w:r>
      <w:r w:rsidR="009F5F63" w:rsidRPr="008031FD">
        <w:rPr>
          <w:sz w:val="28"/>
          <w:szCs w:val="28"/>
        </w:rPr>
        <w:t>выборах депутат</w:t>
      </w:r>
      <w:r w:rsidR="00AB4021">
        <w:rPr>
          <w:sz w:val="28"/>
          <w:szCs w:val="28"/>
        </w:rPr>
        <w:t>а</w:t>
      </w:r>
      <w:r w:rsidR="009F5F63" w:rsidRPr="008031FD">
        <w:rPr>
          <w:sz w:val="28"/>
          <w:szCs w:val="28"/>
        </w:rPr>
        <w:t xml:space="preserve"> Новокузнецкого городского Совета народных депутатов, </w:t>
      </w:r>
      <w:r w:rsidR="00AB4021" w:rsidRPr="0055233B">
        <w:rPr>
          <w:sz w:val="28"/>
          <w:szCs w:val="28"/>
        </w:rPr>
        <w:t xml:space="preserve">руководствуясь статьей </w:t>
      </w:r>
      <w:r w:rsidR="00AB4021">
        <w:rPr>
          <w:sz w:val="28"/>
          <w:szCs w:val="28"/>
        </w:rPr>
        <w:t>11</w:t>
      </w:r>
      <w:r w:rsidR="00AB4021" w:rsidRPr="0055233B">
        <w:rPr>
          <w:sz w:val="28"/>
          <w:szCs w:val="28"/>
        </w:rPr>
        <w:t xml:space="preserve"> Закона Кемеровской области от 7 февраля 2013 года № 1-ОЗ «Об избирательных комиссиях, комиссиях референдума в Кемеровской области – Кузбассе», пунктом 4 статьи 34 Закона Кемеровской области от 30 мая 2011 года № 54-ОЗ «О выборах в органы местного самоуправления в Кемеровской области – Кузбассе»,</w:t>
      </w:r>
      <w:r w:rsidR="00AB4021">
        <w:rPr>
          <w:sz w:val="28"/>
          <w:szCs w:val="28"/>
        </w:rPr>
        <w:t xml:space="preserve">  т</w:t>
      </w:r>
      <w:r w:rsidR="008031FD">
        <w:rPr>
          <w:color w:val="000000"/>
          <w:sz w:val="28"/>
          <w:szCs w:val="28"/>
        </w:rPr>
        <w:t xml:space="preserve">ерриториальная избирательная комиссия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</w:t>
      </w:r>
      <w:r w:rsidR="00AB4021">
        <w:rPr>
          <w:color w:val="000000"/>
          <w:sz w:val="28"/>
          <w:szCs w:val="28"/>
        </w:rPr>
        <w:t xml:space="preserve"> Новокузнецкого городского округа</w:t>
      </w:r>
    </w:p>
    <w:p w:rsidR="00206447" w:rsidRPr="00491D93" w:rsidRDefault="00206447" w:rsidP="00F04237">
      <w:pPr>
        <w:widowControl w:val="0"/>
        <w:shd w:val="clear" w:color="auto" w:fill="FFFFFF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491D93">
        <w:rPr>
          <w:b/>
          <w:sz w:val="28"/>
          <w:szCs w:val="28"/>
        </w:rPr>
        <w:t>РЕШИЛА:</w:t>
      </w:r>
    </w:p>
    <w:p w:rsidR="00491D93" w:rsidRPr="004A0296" w:rsidRDefault="00DD629C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 xml:space="preserve">Зарегистрировать </w:t>
      </w:r>
      <w:r w:rsidR="008031FD" w:rsidRPr="004A0296">
        <w:rPr>
          <w:sz w:val="28"/>
          <w:szCs w:val="28"/>
        </w:rPr>
        <w:t>у</w:t>
      </w:r>
      <w:r w:rsidRPr="004A0296">
        <w:rPr>
          <w:sz w:val="28"/>
          <w:szCs w:val="28"/>
        </w:rPr>
        <w:t>полномоченн</w:t>
      </w:r>
      <w:r w:rsidR="00AB4021" w:rsidRPr="004A0296">
        <w:rPr>
          <w:sz w:val="28"/>
          <w:szCs w:val="28"/>
        </w:rPr>
        <w:t>ого</w:t>
      </w:r>
      <w:r w:rsidR="004A0296" w:rsidRPr="004A0296">
        <w:rPr>
          <w:sz w:val="28"/>
          <w:szCs w:val="28"/>
        </w:rPr>
        <w:t xml:space="preserve"> </w:t>
      </w:r>
      <w:r w:rsidR="00491D93" w:rsidRPr="004A0296">
        <w:rPr>
          <w:sz w:val="28"/>
          <w:szCs w:val="28"/>
        </w:rPr>
        <w:t>представител</w:t>
      </w:r>
      <w:r w:rsidR="00AB4021" w:rsidRPr="004A0296">
        <w:rPr>
          <w:sz w:val="28"/>
          <w:szCs w:val="28"/>
        </w:rPr>
        <w:t>я</w:t>
      </w:r>
      <w:r w:rsidR="00491D93" w:rsidRPr="004A0296">
        <w:rPr>
          <w:sz w:val="28"/>
          <w:szCs w:val="28"/>
        </w:rPr>
        <w:t xml:space="preserve"> Новокузнецкого</w:t>
      </w:r>
      <w:r w:rsidRPr="004A0296">
        <w:rPr>
          <w:sz w:val="28"/>
          <w:szCs w:val="28"/>
        </w:rPr>
        <w:t xml:space="preserve"> местного отделения Партии «ЕДИНАЯ РОССИЯ» </w:t>
      </w:r>
      <w:r w:rsidR="00AB4021" w:rsidRPr="004A0296">
        <w:rPr>
          <w:sz w:val="28"/>
          <w:szCs w:val="28"/>
        </w:rPr>
        <w:t>на дополнительных</w:t>
      </w:r>
      <w:r w:rsidRPr="004A0296">
        <w:rPr>
          <w:sz w:val="28"/>
          <w:szCs w:val="28"/>
        </w:rPr>
        <w:t xml:space="preserve"> выборах депутат</w:t>
      </w:r>
      <w:r w:rsidR="00AB4021" w:rsidRPr="004A0296">
        <w:rPr>
          <w:sz w:val="28"/>
          <w:szCs w:val="28"/>
        </w:rPr>
        <w:t>а</w:t>
      </w:r>
      <w:r w:rsidRPr="004A0296">
        <w:rPr>
          <w:sz w:val="28"/>
          <w:szCs w:val="28"/>
        </w:rPr>
        <w:t xml:space="preserve"> Новокузнецкого городского Совета народных депутатов</w:t>
      </w:r>
      <w:r w:rsidR="00AB4021" w:rsidRPr="004A0296">
        <w:rPr>
          <w:sz w:val="28"/>
          <w:szCs w:val="28"/>
        </w:rPr>
        <w:t xml:space="preserve"> по </w:t>
      </w:r>
      <w:r w:rsidR="00AB4021" w:rsidRPr="004A0296">
        <w:rPr>
          <w:sz w:val="28"/>
          <w:szCs w:val="28"/>
        </w:rPr>
        <w:lastRenderedPageBreak/>
        <w:t xml:space="preserve">одномандатному избирательному округу № 17 – </w:t>
      </w:r>
      <w:r w:rsidR="004A0296" w:rsidRPr="004A0296">
        <w:rPr>
          <w:sz w:val="28"/>
          <w:szCs w:val="28"/>
        </w:rPr>
        <w:t>Ковалевскую Анастасию Геннадьевну</w:t>
      </w:r>
      <w:r w:rsidR="00AB4021" w:rsidRPr="004A0296">
        <w:rPr>
          <w:sz w:val="28"/>
          <w:szCs w:val="28"/>
        </w:rPr>
        <w:t>.</w:t>
      </w:r>
    </w:p>
    <w:p w:rsidR="004A0296" w:rsidRPr="004A0296" w:rsidRDefault="004A0296" w:rsidP="004A0296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4A0296">
        <w:rPr>
          <w:sz w:val="28"/>
          <w:szCs w:val="28"/>
        </w:rPr>
        <w:t>Зарегистрировать уполномоченного представителя Новокузнецкого местного отделения Партии «ЕДИНАЯ РОССИЯ» на дополнительных выборах депутата Новокузнецкого городского Совета народных депутатов по одномандатному избирательному округу № 17 – Красникову Татьяну Викторовну.</w:t>
      </w:r>
    </w:p>
    <w:p w:rsidR="00F04237" w:rsidRPr="004A0296" w:rsidRDefault="00AB4021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 xml:space="preserve">Зарегистрировать уполномоченного представителя Новокузнецкого </w:t>
      </w:r>
      <w:bookmarkEnd w:id="0"/>
      <w:r w:rsidRPr="004A0296">
        <w:rPr>
          <w:sz w:val="28"/>
          <w:szCs w:val="28"/>
        </w:rPr>
        <w:t xml:space="preserve">местного отделения Партии «ЕДИНАЯ РОССИЯ» на дополнительных выборах депутата Новокузнецкого городского Совета народных депутатов по одномандатному избирательному округу № 17 – </w:t>
      </w:r>
      <w:r w:rsidR="00F04237" w:rsidRPr="004A0296">
        <w:rPr>
          <w:sz w:val="28"/>
          <w:szCs w:val="28"/>
        </w:rPr>
        <w:t>Тюрину Дарью Викторовну.</w:t>
      </w:r>
    </w:p>
    <w:p w:rsidR="00491D93" w:rsidRDefault="00206447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>Выдать уполномоченн</w:t>
      </w:r>
      <w:r w:rsidR="00AB4021" w:rsidRPr="004A0296">
        <w:rPr>
          <w:sz w:val="28"/>
          <w:szCs w:val="28"/>
        </w:rPr>
        <w:t>ым</w:t>
      </w:r>
      <w:r w:rsidRPr="004A0296">
        <w:rPr>
          <w:sz w:val="28"/>
          <w:szCs w:val="28"/>
        </w:rPr>
        <w:t xml:space="preserve"> предс</w:t>
      </w:r>
      <w:r w:rsidRPr="00491D93">
        <w:rPr>
          <w:sz w:val="28"/>
          <w:szCs w:val="28"/>
        </w:rPr>
        <w:t>тавител</w:t>
      </w:r>
      <w:r w:rsidR="00AB4021">
        <w:rPr>
          <w:sz w:val="28"/>
          <w:szCs w:val="28"/>
        </w:rPr>
        <w:t>ям</w:t>
      </w:r>
      <w:r w:rsidRPr="00491D93">
        <w:rPr>
          <w:sz w:val="28"/>
          <w:szCs w:val="28"/>
        </w:rPr>
        <w:t xml:space="preserve"> избирательного объединения </w:t>
      </w:r>
      <w:r w:rsidR="007D22FA">
        <w:rPr>
          <w:sz w:val="28"/>
          <w:szCs w:val="28"/>
        </w:rPr>
        <w:t>Новокузнецкое местное отделение П</w:t>
      </w:r>
      <w:r w:rsidR="00AC0F92" w:rsidRPr="00491D93">
        <w:rPr>
          <w:sz w:val="28"/>
          <w:szCs w:val="28"/>
        </w:rPr>
        <w:t xml:space="preserve">артии «ЕДИНАЯ РОССИЯ» </w:t>
      </w:r>
      <w:r w:rsidR="0023558D" w:rsidRPr="00491D93">
        <w:rPr>
          <w:sz w:val="28"/>
          <w:szCs w:val="28"/>
        </w:rPr>
        <w:t>удостоверени</w:t>
      </w:r>
      <w:r w:rsidR="00AB4021">
        <w:rPr>
          <w:sz w:val="28"/>
          <w:szCs w:val="28"/>
        </w:rPr>
        <w:t>я</w:t>
      </w:r>
      <w:r w:rsidRPr="00491D93">
        <w:rPr>
          <w:sz w:val="28"/>
          <w:szCs w:val="28"/>
        </w:rPr>
        <w:t xml:space="preserve"> установленного образца.</w:t>
      </w:r>
    </w:p>
    <w:p w:rsidR="00491D93" w:rsidRDefault="00AB4021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264C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0C264C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Куйбышевского района Новокузнецкого городского округа </w:t>
      </w:r>
      <w:r w:rsidRPr="004E559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 xml:space="preserve">города Новокузнецкав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8031FD" w:rsidRPr="00491D93">
        <w:rPr>
          <w:sz w:val="28"/>
          <w:szCs w:val="28"/>
        </w:rPr>
        <w:t>.</w:t>
      </w:r>
    </w:p>
    <w:p w:rsidR="008031FD" w:rsidRPr="00491D93" w:rsidRDefault="008031FD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1D93">
        <w:rPr>
          <w:color w:val="000000"/>
          <w:sz w:val="28"/>
          <w:szCs w:val="28"/>
        </w:rPr>
        <w:t xml:space="preserve">Контроль за исполнением настоящего решения возложить на секретаря комиссии </w:t>
      </w:r>
      <w:r w:rsidR="00AB4021">
        <w:rPr>
          <w:color w:val="000000"/>
          <w:sz w:val="28"/>
          <w:szCs w:val="28"/>
        </w:rPr>
        <w:t>Комиссарчук И.В.</w:t>
      </w:r>
    </w:p>
    <w:p w:rsidR="008031FD" w:rsidRDefault="008031FD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4145"/>
      </w:tblGrid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О.А. Каменева</w:t>
            </w: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МП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  <w:p w:rsidR="00AB4021" w:rsidRDefault="00AB4021" w:rsidP="00B520ED">
            <w:pPr>
              <w:rPr>
                <w:sz w:val="28"/>
                <w:szCs w:val="28"/>
              </w:rPr>
            </w:pPr>
          </w:p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Комиссарчук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</w:tbl>
    <w:p w:rsidR="00491D93" w:rsidRDefault="00491D93" w:rsidP="007D22FA">
      <w:pPr>
        <w:jc w:val="both"/>
        <w:rPr>
          <w:szCs w:val="26"/>
        </w:rPr>
      </w:pPr>
    </w:p>
    <w:p w:rsidR="00206447" w:rsidRPr="008031FD" w:rsidRDefault="00206447" w:rsidP="008031FD">
      <w:pPr>
        <w:widowControl w:val="0"/>
        <w:shd w:val="clear" w:color="auto" w:fill="FFFFFF"/>
        <w:jc w:val="both"/>
      </w:pPr>
    </w:p>
    <w:sectPr w:rsidR="00206447" w:rsidRPr="008031FD" w:rsidSect="008B6E91">
      <w:pgSz w:w="11907" w:h="16840"/>
      <w:pgMar w:top="993" w:right="708" w:bottom="1276" w:left="993" w:header="0" w:footer="0" w:gutter="56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A24" w:rsidRDefault="00432A24" w:rsidP="000D0DFB">
      <w:r>
        <w:separator/>
      </w:r>
    </w:p>
  </w:endnote>
  <w:endnote w:type="continuationSeparator" w:id="1">
    <w:p w:rsidR="00432A24" w:rsidRDefault="00432A24" w:rsidP="000D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A24" w:rsidRDefault="00432A24" w:rsidP="000D0DFB">
      <w:r>
        <w:separator/>
      </w:r>
    </w:p>
  </w:footnote>
  <w:footnote w:type="continuationSeparator" w:id="1">
    <w:p w:rsidR="00432A24" w:rsidRDefault="00432A24" w:rsidP="000D0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C81B70"/>
    <w:multiLevelType w:val="hybridMultilevel"/>
    <w:tmpl w:val="A2E0138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B413AC3"/>
    <w:multiLevelType w:val="hybridMultilevel"/>
    <w:tmpl w:val="F6F81E1A"/>
    <w:lvl w:ilvl="0" w:tplc="A64A02B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CA4BFB"/>
    <w:multiLevelType w:val="hybridMultilevel"/>
    <w:tmpl w:val="5D085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DFB"/>
    <w:rsid w:val="000341E9"/>
    <w:rsid w:val="000C362F"/>
    <w:rsid w:val="000D0DFB"/>
    <w:rsid w:val="000D7A2C"/>
    <w:rsid w:val="000E423D"/>
    <w:rsid w:val="000F4F03"/>
    <w:rsid w:val="00105D1A"/>
    <w:rsid w:val="001F7C36"/>
    <w:rsid w:val="002031B3"/>
    <w:rsid w:val="00206447"/>
    <w:rsid w:val="0023558D"/>
    <w:rsid w:val="0023682C"/>
    <w:rsid w:val="00264CEA"/>
    <w:rsid w:val="00273C3B"/>
    <w:rsid w:val="002815A4"/>
    <w:rsid w:val="0029045E"/>
    <w:rsid w:val="002A03CA"/>
    <w:rsid w:val="002B4C45"/>
    <w:rsid w:val="002F64D7"/>
    <w:rsid w:val="00306ABF"/>
    <w:rsid w:val="003408E3"/>
    <w:rsid w:val="00345C01"/>
    <w:rsid w:val="00363E0D"/>
    <w:rsid w:val="00371803"/>
    <w:rsid w:val="00373307"/>
    <w:rsid w:val="003A7BA9"/>
    <w:rsid w:val="003D205E"/>
    <w:rsid w:val="00432A24"/>
    <w:rsid w:val="0044115B"/>
    <w:rsid w:val="0045364F"/>
    <w:rsid w:val="00472369"/>
    <w:rsid w:val="004816C6"/>
    <w:rsid w:val="0048496D"/>
    <w:rsid w:val="00491D93"/>
    <w:rsid w:val="004A0296"/>
    <w:rsid w:val="004A3459"/>
    <w:rsid w:val="004C44F1"/>
    <w:rsid w:val="004E3F85"/>
    <w:rsid w:val="004E6EA8"/>
    <w:rsid w:val="00507D5A"/>
    <w:rsid w:val="00515B38"/>
    <w:rsid w:val="00517397"/>
    <w:rsid w:val="00522C0A"/>
    <w:rsid w:val="0053177F"/>
    <w:rsid w:val="00544A3A"/>
    <w:rsid w:val="00561783"/>
    <w:rsid w:val="005A2F16"/>
    <w:rsid w:val="005A73C2"/>
    <w:rsid w:val="005E3D36"/>
    <w:rsid w:val="00607F92"/>
    <w:rsid w:val="00645E37"/>
    <w:rsid w:val="00652FFD"/>
    <w:rsid w:val="00653296"/>
    <w:rsid w:val="00695E10"/>
    <w:rsid w:val="006B7583"/>
    <w:rsid w:val="006D2C5B"/>
    <w:rsid w:val="00715348"/>
    <w:rsid w:val="0072075B"/>
    <w:rsid w:val="00735863"/>
    <w:rsid w:val="00737CDB"/>
    <w:rsid w:val="007419AA"/>
    <w:rsid w:val="00753592"/>
    <w:rsid w:val="00782C7D"/>
    <w:rsid w:val="00782F84"/>
    <w:rsid w:val="0079344A"/>
    <w:rsid w:val="007A68D4"/>
    <w:rsid w:val="007D22FA"/>
    <w:rsid w:val="00800B3E"/>
    <w:rsid w:val="008031FD"/>
    <w:rsid w:val="008359E9"/>
    <w:rsid w:val="00835AF3"/>
    <w:rsid w:val="0089354B"/>
    <w:rsid w:val="008B6E91"/>
    <w:rsid w:val="008E0195"/>
    <w:rsid w:val="009176A9"/>
    <w:rsid w:val="009401ED"/>
    <w:rsid w:val="009443D0"/>
    <w:rsid w:val="0094642A"/>
    <w:rsid w:val="00954599"/>
    <w:rsid w:val="00965779"/>
    <w:rsid w:val="0098614C"/>
    <w:rsid w:val="009A3AAD"/>
    <w:rsid w:val="009D319B"/>
    <w:rsid w:val="009D534C"/>
    <w:rsid w:val="009D7150"/>
    <w:rsid w:val="009D7D81"/>
    <w:rsid w:val="009F0A8C"/>
    <w:rsid w:val="009F5F63"/>
    <w:rsid w:val="00A11E46"/>
    <w:rsid w:val="00A22E76"/>
    <w:rsid w:val="00A31B7E"/>
    <w:rsid w:val="00A51A23"/>
    <w:rsid w:val="00A666A9"/>
    <w:rsid w:val="00A7150B"/>
    <w:rsid w:val="00AB4021"/>
    <w:rsid w:val="00AC0F92"/>
    <w:rsid w:val="00AC40C4"/>
    <w:rsid w:val="00AC47E7"/>
    <w:rsid w:val="00B07951"/>
    <w:rsid w:val="00B211DE"/>
    <w:rsid w:val="00B23302"/>
    <w:rsid w:val="00B4498E"/>
    <w:rsid w:val="00B86FA3"/>
    <w:rsid w:val="00BA3C5E"/>
    <w:rsid w:val="00BA6DE8"/>
    <w:rsid w:val="00BB4B28"/>
    <w:rsid w:val="00BC0F43"/>
    <w:rsid w:val="00BC0FFE"/>
    <w:rsid w:val="00BE4B5A"/>
    <w:rsid w:val="00BF2CAA"/>
    <w:rsid w:val="00C15DC5"/>
    <w:rsid w:val="00CB0893"/>
    <w:rsid w:val="00CF2D26"/>
    <w:rsid w:val="00D23F08"/>
    <w:rsid w:val="00D321A1"/>
    <w:rsid w:val="00D42353"/>
    <w:rsid w:val="00D51400"/>
    <w:rsid w:val="00D551B1"/>
    <w:rsid w:val="00D65CB9"/>
    <w:rsid w:val="00D80923"/>
    <w:rsid w:val="00D902E3"/>
    <w:rsid w:val="00DD113D"/>
    <w:rsid w:val="00DD629C"/>
    <w:rsid w:val="00E03A60"/>
    <w:rsid w:val="00E2013E"/>
    <w:rsid w:val="00E230A9"/>
    <w:rsid w:val="00E374BE"/>
    <w:rsid w:val="00E40CF6"/>
    <w:rsid w:val="00E427BB"/>
    <w:rsid w:val="00E42C69"/>
    <w:rsid w:val="00E47572"/>
    <w:rsid w:val="00E66EA6"/>
    <w:rsid w:val="00E80204"/>
    <w:rsid w:val="00E84D66"/>
    <w:rsid w:val="00EA190B"/>
    <w:rsid w:val="00EB06C7"/>
    <w:rsid w:val="00EC4F4A"/>
    <w:rsid w:val="00EF2E51"/>
    <w:rsid w:val="00F01D90"/>
    <w:rsid w:val="00F04237"/>
    <w:rsid w:val="00F078EA"/>
    <w:rsid w:val="00F77BB9"/>
    <w:rsid w:val="00FB60ED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DF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0DF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0D0D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0D0DF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D0DFB"/>
    <w:rPr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0D0DFB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D0DFB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D551B1"/>
    <w:pPr>
      <w:ind w:left="720"/>
      <w:contextualSpacing/>
    </w:pPr>
  </w:style>
  <w:style w:type="paragraph" w:styleId="a7">
    <w:name w:val="Balloon Text"/>
    <w:basedOn w:val="a"/>
    <w:semiHidden/>
    <w:rsid w:val="004E6EA8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"/>
    <w:link w:val="a9"/>
    <w:qFormat/>
    <w:locked/>
    <w:rsid w:val="00AC0F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AC0F9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ИЗБИРАТЕЛЬНАЯ КОМИССИЯ</vt:lpstr>
    </vt:vector>
  </TitlesOfParts>
  <Company>Microsoft</Company>
  <LinksUpToDate>false</LinksUpToDate>
  <CharactersWithSpaces>2888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http://www.admnkz.info/web/mik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mailto:tik-nvkz-novoilinka@mail.ru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ИЗБИРАТЕЛЬНАЯ КОМИССИЯ</dc:title>
  <dc:subject/>
  <dc:creator>USER</dc:creator>
  <cp:keywords/>
  <cp:lastModifiedBy>admin</cp:lastModifiedBy>
  <cp:revision>8</cp:revision>
  <cp:lastPrinted>2024-06-28T07:33:00Z</cp:lastPrinted>
  <dcterms:created xsi:type="dcterms:W3CDTF">2024-06-27T08:18:00Z</dcterms:created>
  <dcterms:modified xsi:type="dcterms:W3CDTF">2024-06-28T07:35:00Z</dcterms:modified>
</cp:coreProperties>
</file>