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93" w:rsidRDefault="00CA5F9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5F93" w:rsidRDefault="00CA5F93">
      <w:pPr>
        <w:pStyle w:val="ConsPlusNormal"/>
        <w:ind w:firstLine="540"/>
        <w:jc w:val="both"/>
        <w:outlineLvl w:val="0"/>
      </w:pPr>
    </w:p>
    <w:p w:rsidR="00CA5F93" w:rsidRDefault="00CA5F93">
      <w:pPr>
        <w:pStyle w:val="ConsPlusTitle"/>
        <w:jc w:val="center"/>
      </w:pPr>
      <w:r>
        <w:t>АРБИТРАЖНЫЙ СУД ЦЕНТРАЛЬНОГО ОКРУГА</w:t>
      </w:r>
    </w:p>
    <w:p w:rsidR="00CA5F93" w:rsidRDefault="00CA5F93">
      <w:pPr>
        <w:pStyle w:val="ConsPlusTitle"/>
        <w:jc w:val="center"/>
      </w:pPr>
    </w:p>
    <w:p w:rsidR="00CA5F93" w:rsidRDefault="00CA5F93">
      <w:pPr>
        <w:pStyle w:val="ConsPlusTitle"/>
        <w:jc w:val="center"/>
      </w:pPr>
      <w:r>
        <w:t>ПОСТАНОВЛЕНИЕ</w:t>
      </w:r>
    </w:p>
    <w:p w:rsidR="00CA5F93" w:rsidRDefault="00CA5F93">
      <w:pPr>
        <w:pStyle w:val="ConsPlusTitle"/>
        <w:jc w:val="center"/>
      </w:pPr>
      <w:r>
        <w:t>от 26 декабря 2022 г. по делу N А54-9367/2021</w:t>
      </w:r>
    </w:p>
    <w:p w:rsidR="00CA5F93" w:rsidRDefault="00CA5F93">
      <w:pPr>
        <w:pStyle w:val="ConsPlusNormal"/>
        <w:ind w:firstLine="540"/>
        <w:jc w:val="both"/>
      </w:pPr>
    </w:p>
    <w:p w:rsidR="00CA5F93" w:rsidRDefault="00CA5F93">
      <w:pPr>
        <w:pStyle w:val="ConsPlusNormal"/>
        <w:ind w:firstLine="540"/>
        <w:jc w:val="both"/>
      </w:pPr>
      <w:r>
        <w:t>Резолютивная часть постановления объявлена 20 декабря 2022 года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Постановление в полном объеме изготовлено 26 декабря 2022 года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Арбитражный суд Центрального округа в составе: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председательствующего судьи Смолко С.И.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судей Бессоновой Е.В.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Леоновой Л.В.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при ведении протокола судебного заседания помощником судьи Ковтуновой И.Б.,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при участии в судебном заседании: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от заявителя: индивидуального предпринимателя Швецовой Наталии Ивановны (</w:t>
      </w:r>
      <w:proofErr w:type="gramStart"/>
      <w:r>
        <w:t>г</w:t>
      </w:r>
      <w:proofErr w:type="gramEnd"/>
      <w:r>
        <w:t>. Екатеринбург, ОГРНИП 311667831300086, ИНН 666102630247) - Бикмулин М.Г. (доверенность от 01.02.2022 N 1 сроком на 3 года, диплом);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от заинтересованного лица: управления Федеральной антимонопольной службы по Рязанской области (390000, г. Рязань, ул. Семинарская, 15, корп. 2, ОГРН 1026201269269, ИНН 6231010720) - не явились,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от третьего лица: Администрации муниципального образования городской округ город Сасово Рязанской области (391430, Рязанская область, </w:t>
      </w:r>
      <w:proofErr w:type="gramStart"/>
      <w:r>
        <w:t>г</w:t>
      </w:r>
      <w:proofErr w:type="gramEnd"/>
      <w:r>
        <w:t>. Сасово, ул. Садовая, д. 22, ОГРН 1026201403535, ИНН 6232001929) - не явились;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рассмотрев в открытом судебном заседании, проведенном посредством видеоконференц-связи при содействии Арбитражного суда Свердловской области, кассационную жалобу индивидуального предпринимателя Швецовой Наталии Ивановны на </w:t>
      </w:r>
      <w:hyperlink r:id="rId5">
        <w:r>
          <w:rPr>
            <w:color w:val="0000FF"/>
          </w:rPr>
          <w:t>решение</w:t>
        </w:r>
      </w:hyperlink>
      <w:r>
        <w:t xml:space="preserve"> Арбитражного суда Рязанской области от 24.03.2022 и </w:t>
      </w:r>
      <w:hyperlink r:id="rId6">
        <w:r>
          <w:rPr>
            <w:color w:val="0000FF"/>
          </w:rPr>
          <w:t>постановление</w:t>
        </w:r>
        <w:proofErr w:type="gramStart"/>
      </w:hyperlink>
      <w:r>
        <w:t xml:space="preserve"> Д</w:t>
      </w:r>
      <w:proofErr w:type="gramEnd"/>
      <w:r>
        <w:t>вадцатого арбитражного апелляционного суда от 10.08.2022 по делу N А54-9367/2021,</w:t>
      </w:r>
    </w:p>
    <w:p w:rsidR="00CA5F93" w:rsidRDefault="00CA5F93">
      <w:pPr>
        <w:pStyle w:val="ConsPlusNormal"/>
        <w:jc w:val="center"/>
      </w:pPr>
    </w:p>
    <w:p w:rsidR="00CA5F93" w:rsidRDefault="00CA5F93">
      <w:pPr>
        <w:pStyle w:val="ConsPlusNormal"/>
        <w:jc w:val="center"/>
      </w:pPr>
      <w:r>
        <w:t>установил:</w:t>
      </w:r>
    </w:p>
    <w:p w:rsidR="00CA5F93" w:rsidRDefault="00CA5F93">
      <w:pPr>
        <w:pStyle w:val="ConsPlusNormal"/>
        <w:jc w:val="center"/>
      </w:pPr>
    </w:p>
    <w:p w:rsidR="00CA5F93" w:rsidRDefault="00CA5F93">
      <w:pPr>
        <w:pStyle w:val="ConsPlusNormal"/>
        <w:ind w:firstLine="540"/>
        <w:jc w:val="both"/>
      </w:pPr>
      <w:r>
        <w:t>Индивидуальный предприниматель Швецова Наталия Ивановна (далее - предприниматель) обратилась в Арбитражный суд Рязанской области с заявлением о признании недействительным решения управления Федеральной антимонопольной службы по Рязанской области (далее - УФАС, антимонопольный орган) от 09.09.2021 по делу РНП-</w:t>
      </w:r>
      <w:proofErr w:type="gramStart"/>
      <w:r>
        <w:t>N</w:t>
      </w:r>
      <w:proofErr w:type="gramEnd"/>
      <w:r>
        <w:t xml:space="preserve"> 62-852.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Суд привлек к участию в деле в качестве третьего лица, не заявляющего самостоятельных требований относительно предмета спора, Администрацию муниципального образования городской округ город Сасово Рязанской области (далее - администрация).</w:t>
      </w:r>
    </w:p>
    <w:p w:rsidR="00CA5F93" w:rsidRDefault="00CA5F93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Решением</w:t>
        </w:r>
      </w:hyperlink>
      <w:r>
        <w:t xml:space="preserve"> суда от 24.03.2022 предпринимателю отказано в удовлетворении заявленного требования.</w:t>
      </w:r>
    </w:p>
    <w:p w:rsidR="00CA5F93" w:rsidRDefault="00CA5F93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Постановлением</w:t>
        </w:r>
        <w:proofErr w:type="gramStart"/>
      </w:hyperlink>
      <w:r>
        <w:t xml:space="preserve"> Д</w:t>
      </w:r>
      <w:proofErr w:type="gramEnd"/>
      <w:r>
        <w:t>вадцатого арбитражного апелляционного суда от 10.08.2022 решение суда оставлено без изменения.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В кассационной жалобе предприниматель просит принятые судебные акты отменить, заявленное требование удовлетворить, ссылаясь на то, что суды необоснованно не приняли во внимание факт нахождения ее на больничном листке в период, когда необходимо было подписать контракт.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В отзыве на жалобу УФАС просит оставить судебные решения без изменения, а кассационную жалобу - без удовлетворения, ссылаясь на несостоятельность доводов жалобы.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В судебном заседании суда кассационной инстанции представитель предпринимателя поддержал доводы кассационной жалобы.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Иные участвующие в деле надлежаще извещены о времени и месте судебного разбирательства, но своих представителей в судебное заседание не направили, что в силу </w:t>
      </w:r>
      <w:hyperlink r:id="rId9">
        <w:r>
          <w:rPr>
            <w:color w:val="0000FF"/>
          </w:rPr>
          <w:t>части 3 статьи 284</w:t>
        </w:r>
      </w:hyperlink>
      <w:r>
        <w:t xml:space="preserve"> Арбитражного процессуального кодекса Российской Федерации (АПК РФ) не препятствует рассмотрению дела.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Проверив в пределах доводов кассационной жалобы и возражений на них судебные акты на предмет правильности применения судами первой и апелляционной инстанций норм материального права и норм процессуального права, соответствия выводов судов обстоятельствам дела и имеющимся в деле доказательствам, заслушав пояснения представителя предпринимателя, суд кассационной инстанции приходит к следующему.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Как усматривается из материалов дела и установлено судами, по результатам проведенного администрацией (заказчик) электронного аукциона (протокол подведения итогов N 0859200001121008362-3 от 11.08.2021) на поставку мобильных компьютерных классов для МБОУ СОШ N 1 (начальная (</w:t>
      </w:r>
      <w:proofErr w:type="gramStart"/>
      <w:r>
        <w:t xml:space="preserve">максимальная) </w:t>
      </w:r>
      <w:proofErr w:type="gramEnd"/>
      <w:r>
        <w:t>цена контракта составляла 8 483 170 руб.) победителем аукциона признана предприниматель, предложившая цену контракта - 5 962 584 руб. 15 коп.</w:t>
      </w:r>
    </w:p>
    <w:p w:rsidR="00CA5F93" w:rsidRDefault="00CA5F9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частью 2 статьи 83.2</w:t>
        </w:r>
      </w:hyperlink>
      <w:r>
        <w:t xml:space="preserve"> Федерального закона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заказчик 16.08.2021 разместил в Единой Информационной Системе (ЕИС) и на электронной площадке АО "Сбербанк-АСТ" заполненный проект контракта, но в нарушение </w:t>
      </w:r>
      <w:hyperlink r:id="rId11">
        <w:r>
          <w:rPr>
            <w:color w:val="0000FF"/>
          </w:rPr>
          <w:t>части 3 статьи 83.2</w:t>
        </w:r>
      </w:hyperlink>
      <w:r>
        <w:t xml:space="preserve"> названного Закона предприниматель не</w:t>
      </w:r>
      <w:proofErr w:type="gramEnd"/>
      <w:r>
        <w:t xml:space="preserve"> подписала проект контракта в срок по 23.08.2021, не разместила на электронной площадке подписанный проект контракта и документ, подтверждающий предоставление обеспечения исполнения контракта.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24 августа 2021 г. администрация признала предпринимателя уклонившейся от заключения контракта, опубликовав в ЕИС соответствующий протокол от указанной даты.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30 августа 2021 г. администрация обратилась в антимонопольный орган с представлением N 3065 о включении предпринимателя в реестр недобросовестных поставщиков (РНП) - т. 1 л.д. 76.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Решением УФАС от 09.09.2021 представление администрации удовлетворено, сведения в отношении предпринимателя включены в РНП сроком на 2 года.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Полагая, что решение антимонопольного органа является незаконным и нарушает ее права и законные интересы в сфере экономической деятельности, предприниматель обратилась с указанным заявлением в арбитражный суд.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Установив факт уклонения предпринимателя от подписания контракта и внесения обеспечительной суммы, которая составляет 2 544 951 руб., суд первой инстанции пришел к выводу о законности оспариваемого решения и отказал предпринимателю в удовлетворении ее </w:t>
      </w:r>
      <w:r>
        <w:lastRenderedPageBreak/>
        <w:t>требования.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Суд апелляционной инстанции согласился с выводами суда первой инстанции.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Суд кассационной инстанции согласен с принятыми судебными актами.</w:t>
      </w:r>
    </w:p>
    <w:p w:rsidR="00CA5F93" w:rsidRDefault="00CA5F9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частью 4 статьи 200</w:t>
        </w:r>
      </w:hyperlink>
      <w:r>
        <w:t xml:space="preserve"> АПК РФ 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</w:t>
      </w:r>
      <w:proofErr w:type="gramEnd"/>
      <w:r>
        <w:t xml:space="preserve"> или лица, которые приняли оспариваемый акт, решение или совершили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Антимонопольному органу законодательно предоставлены полномочия по включению информации о поставщиках в РНП в установленных законом случаях.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части 13 статьи 83.2</w:t>
        </w:r>
      </w:hyperlink>
      <w:r>
        <w:t xml:space="preserve"> Закона о контрактной системе победитель электронной процедуры признается </w:t>
      </w:r>
      <w:proofErr w:type="gramStart"/>
      <w:r>
        <w:t>заказчиком</w:t>
      </w:r>
      <w:proofErr w:type="gramEnd"/>
      <w:r>
        <w:t xml:space="preserve"> уклонившимся от заключения контракта в случае, если в сроки, предусмотренные настоящей </w:t>
      </w:r>
      <w:hyperlink r:id="rId14">
        <w:r>
          <w:rPr>
            <w:color w:val="0000FF"/>
          </w:rPr>
          <w:t>статьей</w:t>
        </w:r>
      </w:hyperlink>
      <w:r>
        <w:t xml:space="preserve">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</w:t>
      </w:r>
      <w:hyperlink r:id="rId15">
        <w:r>
          <w:rPr>
            <w:color w:val="0000FF"/>
          </w:rPr>
          <w:t>частью 4 настоящей статьи</w:t>
        </w:r>
      </w:hyperlink>
      <w:r>
        <w:t xml:space="preserve">, или не исполнил требования, предусмотренные </w:t>
      </w:r>
      <w:hyperlink r:id="rId16">
        <w:r>
          <w:rPr>
            <w:color w:val="0000FF"/>
          </w:rPr>
          <w:t>статьей 37</w:t>
        </w:r>
      </w:hyperlink>
      <w:r>
        <w:t xml:space="preserve"> настоящего Федерального </w:t>
      </w:r>
      <w:proofErr w:type="gramStart"/>
      <w:r>
        <w:t>закона (</w:t>
      </w:r>
      <w:hyperlink r:id="rId17">
        <w:r>
          <w:rPr>
            <w:color w:val="0000FF"/>
          </w:rPr>
          <w:t>частью 2 статьи 37</w:t>
        </w:r>
      </w:hyperlink>
      <w:r>
        <w:t xml:space="preserve"> предусмотрено, что в случае снижения при проведении электронного аукциона или конкурса цены контракта, суммы цен единиц товара, работы, услуги на двадцать пять процентов и более от начальной (максимальной) цены контракта, начальной суммы цен единиц товара, работы, услуги контракт с таким участником заключается после предоставления обеспечения исполнения контракта).</w:t>
      </w:r>
      <w:proofErr w:type="gramEnd"/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8">
        <w:r>
          <w:rPr>
            <w:color w:val="0000FF"/>
          </w:rPr>
          <w:t>части 5 статьи 96</w:t>
        </w:r>
      </w:hyperlink>
      <w:r>
        <w:t xml:space="preserve"> названного Закона в случае непредоставления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Пунктом 13 информационной карты раздела 12 аукционной документации установлено, что размер обеспечения исполнения контракта составляет 2 544 951 руб. (30% начальной (максимальной) цены контракта).</w:t>
      </w:r>
    </w:p>
    <w:p w:rsidR="00CA5F93" w:rsidRDefault="00CA5F93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Частью 2 статьи 104</w:t>
        </w:r>
      </w:hyperlink>
      <w:r>
        <w:t xml:space="preserve"> Закона о контрактной системе определено, что в РНП включается информация об участниках закупок, уклонившихся от заключения контракта.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Из </w:t>
      </w:r>
      <w:hyperlink r:id="rId20">
        <w:r>
          <w:rPr>
            <w:color w:val="0000FF"/>
          </w:rPr>
          <w:t>подпунктов "а"</w:t>
        </w:r>
      </w:hyperlink>
      <w:r>
        <w:t xml:space="preserve">, </w:t>
      </w:r>
      <w:hyperlink r:id="rId21">
        <w:r>
          <w:rPr>
            <w:color w:val="0000FF"/>
          </w:rPr>
          <w:t>"б" пункта 13</w:t>
        </w:r>
      </w:hyperlink>
      <w:r>
        <w:t xml:space="preserve"> Правил ведения реестра недобросовестных поставщиков (подрядчиков, исполнителей), утвержденных Постановлением Правительства РФ от 30.06.2021 N 1078, следует, что антимонопольный орган принимает решение о включении информации об участнике закупки в РНП по результатам рассмотрения обращения и проведения </w:t>
      </w:r>
      <w:proofErr w:type="gramStart"/>
      <w:r>
        <w:t>проверки</w:t>
      </w:r>
      <w:proofErr w:type="gramEnd"/>
      <w:r>
        <w:t xml:space="preserve"> содержащихся в обращении фактов, свидетельствующих об уклонении участника закупки от заключения контракта.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>Согласно оспариваемому решению антимонопольный орган пришел к выводу об уклонении предпринимателя от заключения контракта.</w:t>
      </w:r>
    </w:p>
    <w:p w:rsidR="00CA5F93" w:rsidRDefault="00CA5F93">
      <w:pPr>
        <w:pStyle w:val="ConsPlusNormal"/>
        <w:spacing w:before="220"/>
        <w:ind w:firstLine="540"/>
        <w:jc w:val="both"/>
      </w:pPr>
      <w:proofErr w:type="gramStart"/>
      <w:r>
        <w:t xml:space="preserve">Довод заявителя жалобы, что в период с 22.08.2021 по 26.08.2021 она болела и не могла подписать контракт (контракт необходимо было подписать с 16 по 23 августа), имела листок нетрудоспособности был предметом исследования судов и суды пришли к выводу, что предприниматель не была лишена возможности подписать контракт и предоставить обеспечение </w:t>
      </w:r>
      <w:r>
        <w:lastRenderedPageBreak/>
        <w:t>в период с 16.08.2021 по 21.08.2021 до заболевания, да и в</w:t>
      </w:r>
      <w:proofErr w:type="gramEnd"/>
      <w:r>
        <w:t xml:space="preserve"> оставшиеся дни до 23.08.2021, так как процедура подписания контракта на электронной площадке не является время - и трудозатратной, а из выписки из амбулаторной карты пациента Швецовой Н.И. следует, что она обратилась по поводу ОРВИ с явлениями фарингита (т. 2 л.д. 17).</w:t>
      </w:r>
    </w:p>
    <w:p w:rsidR="00CA5F93" w:rsidRDefault="00CA5F93">
      <w:pPr>
        <w:pStyle w:val="ConsPlusNormal"/>
        <w:spacing w:before="220"/>
        <w:ind w:firstLine="540"/>
        <w:jc w:val="both"/>
      </w:pPr>
      <w:proofErr w:type="gramStart"/>
      <w:r>
        <w:t>Более того, антимонопольным органом и судами установлено, что согласно сформированному отчету ГИС "Независимый регистратор" предприниматель авторизовалась в ЕИС, на электронной площадке по данному электронному аукциону в тот период, когда следовало подписать контракт, в том числе и 23.08.2021 в 07:15:50, но контракт не подписала и не разместила в ЕИС, а также не разместила документ, подтверждающий предоставление обеспечения исполнения контракта.</w:t>
      </w:r>
      <w:proofErr w:type="gramEnd"/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При таких обстоятельствах, суд </w:t>
      </w:r>
      <w:proofErr w:type="gramStart"/>
      <w:r>
        <w:t>согласился с позицией</w:t>
      </w:r>
      <w:proofErr w:type="gramEnd"/>
      <w:r>
        <w:t xml:space="preserve"> антимонопольного органа, что предприниматель действовало недобросовестно, уклонялась от заключения контракта и предоставления обеспечения исполнения контракта, признал оспариваемое решение УФАС законным и отказал в удовлетворении требования предпринимателя.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Исходя из </w:t>
      </w:r>
      <w:proofErr w:type="gramStart"/>
      <w:r>
        <w:t>изложенного</w:t>
      </w:r>
      <w:proofErr w:type="gramEnd"/>
      <w:r>
        <w:t>, суд кассационной инстанции не усматривает оснований для отмены состоявшихся судебных актов.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22">
        <w:r>
          <w:rPr>
            <w:color w:val="0000FF"/>
          </w:rPr>
          <w:t>пунктом 1 части 1 статьи 287</w:t>
        </w:r>
      </w:hyperlink>
      <w:r>
        <w:t xml:space="preserve">, </w:t>
      </w:r>
      <w:hyperlink r:id="rId23">
        <w:r>
          <w:rPr>
            <w:color w:val="0000FF"/>
          </w:rPr>
          <w:t>статьей 289</w:t>
        </w:r>
      </w:hyperlink>
      <w:r>
        <w:t xml:space="preserve"> Арбитражного процессуального кодекса Российской Федерации, суд</w:t>
      </w:r>
    </w:p>
    <w:p w:rsidR="00CA5F93" w:rsidRDefault="00CA5F93">
      <w:pPr>
        <w:pStyle w:val="ConsPlusNormal"/>
        <w:jc w:val="center"/>
      </w:pPr>
    </w:p>
    <w:p w:rsidR="00CA5F93" w:rsidRDefault="00CA5F93">
      <w:pPr>
        <w:pStyle w:val="ConsPlusNormal"/>
        <w:jc w:val="center"/>
      </w:pPr>
      <w:r>
        <w:t>постановил:</w:t>
      </w:r>
    </w:p>
    <w:p w:rsidR="00CA5F93" w:rsidRDefault="00CA5F93">
      <w:pPr>
        <w:pStyle w:val="ConsPlusNormal"/>
        <w:jc w:val="center"/>
      </w:pPr>
    </w:p>
    <w:p w:rsidR="00CA5F93" w:rsidRDefault="00CA5F93">
      <w:pPr>
        <w:pStyle w:val="ConsPlusNormal"/>
        <w:ind w:firstLine="540"/>
        <w:jc w:val="both"/>
      </w:pPr>
      <w:hyperlink r:id="rId24">
        <w:r>
          <w:rPr>
            <w:color w:val="0000FF"/>
          </w:rPr>
          <w:t>Решение</w:t>
        </w:r>
      </w:hyperlink>
      <w:r>
        <w:t xml:space="preserve"> Арбитражного суда Рязанской области от 24.03.2022 и </w:t>
      </w:r>
      <w:hyperlink r:id="rId25">
        <w:r>
          <w:rPr>
            <w:color w:val="0000FF"/>
          </w:rPr>
          <w:t>постановление</w:t>
        </w:r>
        <w:proofErr w:type="gramStart"/>
      </w:hyperlink>
      <w:r>
        <w:t xml:space="preserve"> Д</w:t>
      </w:r>
      <w:proofErr w:type="gramEnd"/>
      <w:r>
        <w:t>вадцатого арбитражного апелляционного суда от 10.08.2022 по делу N А54-9367/2021 оставить без изменения, а кассационную жалобу - без удовлетворения.</w:t>
      </w:r>
    </w:p>
    <w:p w:rsidR="00CA5F93" w:rsidRDefault="00CA5F93">
      <w:pPr>
        <w:pStyle w:val="ConsPlusNormal"/>
        <w:spacing w:before="220"/>
        <w:ind w:firstLine="540"/>
        <w:jc w:val="both"/>
      </w:pPr>
      <w:r>
        <w:t xml:space="preserve">Постановление вступает в законную силу с момента его принятия и может быть обжаловано в Судебную коллегию Верховного Суда Российской Федерации в течение двух месяцев в порядке, предусмотренном </w:t>
      </w:r>
      <w:hyperlink r:id="rId26">
        <w:r>
          <w:rPr>
            <w:color w:val="0000FF"/>
          </w:rPr>
          <w:t>ст. 291.1</w:t>
        </w:r>
      </w:hyperlink>
      <w:r>
        <w:t xml:space="preserve"> АПК РФ.</w:t>
      </w:r>
    </w:p>
    <w:p w:rsidR="00CA5F93" w:rsidRDefault="00CA5F93">
      <w:pPr>
        <w:pStyle w:val="ConsPlusNormal"/>
        <w:ind w:firstLine="540"/>
        <w:jc w:val="both"/>
      </w:pPr>
    </w:p>
    <w:p w:rsidR="00CA5F93" w:rsidRDefault="00CA5F93">
      <w:pPr>
        <w:pStyle w:val="ConsPlusNormal"/>
        <w:jc w:val="right"/>
      </w:pPr>
      <w:r>
        <w:t>Председательствующий судья</w:t>
      </w:r>
    </w:p>
    <w:p w:rsidR="00CA5F93" w:rsidRDefault="00CA5F93">
      <w:pPr>
        <w:pStyle w:val="ConsPlusNormal"/>
        <w:jc w:val="right"/>
      </w:pPr>
      <w:r>
        <w:t>С.И.СМОЛКО</w:t>
      </w:r>
    </w:p>
    <w:p w:rsidR="00CA5F93" w:rsidRDefault="00CA5F93">
      <w:pPr>
        <w:pStyle w:val="ConsPlusNormal"/>
        <w:jc w:val="right"/>
      </w:pPr>
    </w:p>
    <w:p w:rsidR="00CA5F93" w:rsidRDefault="00CA5F93">
      <w:pPr>
        <w:pStyle w:val="ConsPlusNormal"/>
        <w:jc w:val="right"/>
      </w:pPr>
      <w:r>
        <w:t>Судьи</w:t>
      </w:r>
    </w:p>
    <w:p w:rsidR="00CA5F93" w:rsidRDefault="00CA5F93">
      <w:pPr>
        <w:pStyle w:val="ConsPlusNormal"/>
        <w:jc w:val="right"/>
      </w:pPr>
      <w:r>
        <w:t>Е.В.БЕССОНОВА</w:t>
      </w:r>
    </w:p>
    <w:p w:rsidR="00CA5F93" w:rsidRDefault="00CA5F93">
      <w:pPr>
        <w:pStyle w:val="ConsPlusNormal"/>
        <w:jc w:val="right"/>
      </w:pPr>
      <w:r>
        <w:t>Л.В.ЛЕОНОВА</w:t>
      </w:r>
    </w:p>
    <w:p w:rsidR="00CA5F93" w:rsidRDefault="00CA5F93">
      <w:pPr>
        <w:pStyle w:val="ConsPlusNormal"/>
        <w:ind w:firstLine="540"/>
        <w:jc w:val="both"/>
      </w:pPr>
    </w:p>
    <w:p w:rsidR="00CA5F93" w:rsidRDefault="00CA5F93">
      <w:pPr>
        <w:pStyle w:val="ConsPlusNormal"/>
        <w:ind w:firstLine="540"/>
        <w:jc w:val="both"/>
      </w:pPr>
    </w:p>
    <w:p w:rsidR="00CA5F93" w:rsidRDefault="00CA5F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F4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A5F93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1EB7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432"/>
    <w:rsid w:val="00424A0D"/>
    <w:rsid w:val="00427D39"/>
    <w:rsid w:val="004324AD"/>
    <w:rsid w:val="004326EF"/>
    <w:rsid w:val="00432DD8"/>
    <w:rsid w:val="00433626"/>
    <w:rsid w:val="004349E9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2669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66FD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5F93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51B5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F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F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5F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581E28F854B22AAF031936E7BBF80A0E95543E14141E55D0E3C95D30251725F2BEC3FC89DDA4DFF2D964F6EEA5B0CN8b1I" TargetMode="External"/><Relationship Id="rId13" Type="http://schemas.openxmlformats.org/officeDocument/2006/relationships/hyperlink" Target="consultantplus://offline/ref=84B581E28F854B22AAF02F936913E18FA4E20E4BEB414DBB075167C8840B5B251864B56F8FC8D444A862D21B7DEA581082E651A45A32NBbDI" TargetMode="External"/><Relationship Id="rId18" Type="http://schemas.openxmlformats.org/officeDocument/2006/relationships/hyperlink" Target="consultantplus://offline/ref=84B581E28F854B22AAF02F936913E18FA4E30A4FEC4A4DBB075167C8840B5B251864B56F8CC9D44BF538C21F34BD560C81F94FA74432BE3FNDb5I" TargetMode="External"/><Relationship Id="rId26" Type="http://schemas.openxmlformats.org/officeDocument/2006/relationships/hyperlink" Target="consultantplus://offline/ref=84B581E28F854B22AAF02F936913E18FA4E1084AEA4A4DBB075167C8840B5B251864B56F8ACED444A862D21B7DEA581082E651A45A32NBb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B581E28F854B22AAF02F936913E18FA4E3094AEF474DBB075167C8840B5B251864B56F8CC8D64FFE38C21F34BD560C81F94FA74432BE3FNDb5I" TargetMode="External"/><Relationship Id="rId7" Type="http://schemas.openxmlformats.org/officeDocument/2006/relationships/hyperlink" Target="consultantplus://offline/ref=84B581E28F854B22AAF022817D66B4DCADE00E4CE84246EE5053369D8A0E53755074E92AD9C5D54CE233975072E859N0bDI" TargetMode="External"/><Relationship Id="rId12" Type="http://schemas.openxmlformats.org/officeDocument/2006/relationships/hyperlink" Target="consultantplus://offline/ref=84B581E28F854B22AAF02F936913E18FA4E1084AEA4A4DBB075167C8840B5B251864B56D8BCDDC1BAD77C34372EB450E83F94DA658N3b3I" TargetMode="External"/><Relationship Id="rId17" Type="http://schemas.openxmlformats.org/officeDocument/2006/relationships/hyperlink" Target="consultantplus://offline/ref=84B581E28F854B22AAF02F936913E18FA4E30A4FEC4A4DBB075167C8840B5B251864B56C8ECED544A862D21B7DEA581082E651A45A32NBbDI" TargetMode="External"/><Relationship Id="rId25" Type="http://schemas.openxmlformats.org/officeDocument/2006/relationships/hyperlink" Target="consultantplus://offline/ref=84B581E28F854B22AAF031936E7BBF80A0E95543E14141E55D0E3C95D30251725F2BEC3FC89DDA4DFF2D964F6EEA5B0CN8b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B581E28F854B22AAF02F936913E18FA4E30A4FEC4A4DBB075167C8840B5B251864B56F8CC8D34CFB38C21F34BD560C81F94FA74432BE3FNDb5I" TargetMode="External"/><Relationship Id="rId20" Type="http://schemas.openxmlformats.org/officeDocument/2006/relationships/hyperlink" Target="consultantplus://offline/ref=84B581E28F854B22AAF02F936913E18FA4E3094AEF474DBB075167C8840B5B251864B56F8CC8D746F838C21F34BD560C81F94FA74432BE3FNDb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581E28F854B22AAF031936E7BBF80A0E95543E14141E55D0E3C95D30251725F2BEC3FC89DDA4DFF2D964F6EEA5B0CN8b1I" TargetMode="External"/><Relationship Id="rId11" Type="http://schemas.openxmlformats.org/officeDocument/2006/relationships/hyperlink" Target="consultantplus://offline/ref=84B581E28F854B22AAF02F936913E18FA4E20E4BEB414DBB075167C8840B5B251864B56F8FC8D644A862D21B7DEA581082E651A45A32NBbDI" TargetMode="External"/><Relationship Id="rId24" Type="http://schemas.openxmlformats.org/officeDocument/2006/relationships/hyperlink" Target="consultantplus://offline/ref=84B581E28F854B22AAF022817D66B4DCADE00E4CE84246EE5053369D8A0E53755074E92AD9C5D54CE233975072E859N0bDI" TargetMode="External"/><Relationship Id="rId5" Type="http://schemas.openxmlformats.org/officeDocument/2006/relationships/hyperlink" Target="consultantplus://offline/ref=84B581E28F854B22AAF022817D66B4DCADE00E4CE84246EE5053369D8A0E53755074E92AD9C5D54CE233975072E859N0bDI" TargetMode="External"/><Relationship Id="rId15" Type="http://schemas.openxmlformats.org/officeDocument/2006/relationships/hyperlink" Target="consultantplus://offline/ref=84B581E28F854B22AAF02F936913E18FA4E20E4BEB414DBB075167C8840B5B251864B5678AC9DC1BAD77C34372EB450E83F94DA658N3b3I" TargetMode="External"/><Relationship Id="rId23" Type="http://schemas.openxmlformats.org/officeDocument/2006/relationships/hyperlink" Target="consultantplus://offline/ref=84B581E28F854B22AAF02F936913E18FA4E1084AEA4A4DBB075167C8840B5B251864B56F8CC9DE4EFC38C21F34BD560C81F94FA74432BE3FNDb5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4B581E28F854B22AAF02F936913E18FA4E20E4BEB414DBB075167C8840B5B251864B56F85CCD344A862D21B7DEA581082E651A45A32NBbDI" TargetMode="External"/><Relationship Id="rId19" Type="http://schemas.openxmlformats.org/officeDocument/2006/relationships/hyperlink" Target="consultantplus://offline/ref=84B581E28F854B22AAF02F936913E18FA4E30A4FEC4A4DBB075167C8840B5B251864B56F8CC9D346F538C21F34BD560C81F94FA74432BE3FNDb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4B581E28F854B22AAF02F936913E18FA4E1084AEA4A4DBB075167C8840B5B251864B56F8CC9DF48F538C21F34BD560C81F94FA74432BE3FNDb5I" TargetMode="External"/><Relationship Id="rId14" Type="http://schemas.openxmlformats.org/officeDocument/2006/relationships/hyperlink" Target="consultantplus://offline/ref=84B581E28F854B22AAF02F936913E18FA4E20E4BEB414DBB075167C8840B5B251864B56789CFDC1BAD77C34372EB450E83F94DA658N3b3I" TargetMode="External"/><Relationship Id="rId22" Type="http://schemas.openxmlformats.org/officeDocument/2006/relationships/hyperlink" Target="consultantplus://offline/ref=84B581E28F854B22AAF02F936913E18FA4E1084AEA4A4DBB075167C8840B5B251864B56F8CC9DF47F438C21F34BD560C81F94FA74432BE3FNDb5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2138</Words>
  <Characters>12188</Characters>
  <Application>Microsoft Office Word</Application>
  <DocSecurity>0</DocSecurity>
  <Lines>101</Lines>
  <Paragraphs>28</Paragraphs>
  <ScaleCrop>false</ScaleCrop>
  <Company>Microsoft</Company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2023-01-23T08:27:00Z</dcterms:created>
  <dcterms:modified xsi:type="dcterms:W3CDTF">2023-01-23T08:27:00Z</dcterms:modified>
</cp:coreProperties>
</file>